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天津市眼科医院</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天津市眼科医院</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天津市眼科医院是一所集眼科医疗、教学、科研、社区服务、防盲治盲为一体的三级甲等、非营利性专科医院，为我国知名的眼科医学中心之一。我院现为南开大学附属眼科医院、天津医科大学眼科临床学院，承担本科、七年制、硕博士研究生教学任务，还承担多项国家自然科学基金、卫生部、天津市科研项目。“眼科学”为天津市重点学科</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天津市眼科医院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天津市眼科医院本级。</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天津市眼科医院</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23796000.00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680576186.09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200000.00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681794349.44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8984078.70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713356264.79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681994349.44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28454133.00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42753276.33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45661058.68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42753276.33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756109541.12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756109541.12</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天津市眼科医院</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713356264.79</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23796000.00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680576186.09</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8984078.70</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2080116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引进人才费用</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713156264.79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23596000.00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680576186.09</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8984078.70</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710607264.79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21047000.00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680576186.09</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8984078.70</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其他专科医院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710607264.79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21047000.00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680576186.09</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8984078.70</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2100409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重大公共卫生服务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1999000.00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1999000.00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1346000.00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1346000.00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653000.00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653000.00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天津市眼科医院</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756109541.12</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713356264.79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23796000.00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680576186.09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8984078.70</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368214</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天津市眼科医院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756109541.12</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713356264.79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23796000.00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680576186.09</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8984078.70</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天津市眼科医院</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42753276.33</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42753276.33</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42753276.33</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368214</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天津市眼科医院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42753276.33</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42753276.33</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42753276.33</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天津市眼科医院</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681994349.44</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665417740.08</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16576609.36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人力资源和社会保障管理事务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2080116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引进人才费用</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681794349.44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665417740.08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16376609.36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公立医院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679245349.44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663418740.08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15826609.36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其他专科医院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679245349.44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663418740.08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15826609.36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公共卫生</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2100409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重大公共卫生服务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1999000.00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1999000.00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653000.00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天津市眼科医院</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23796000.00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200000.00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200000.00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23596000.00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23596000.00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23796000.00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23796000.00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23796000.00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23796000.00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23796000.00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23796000.00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天津市眼科医院</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23796000.00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15951000.00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15560000.00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391000.00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7845000.00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人力资源和社会保障管理事务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引进人才费用</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23596000.00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15951000.00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15560000.00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391000.00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7645000.00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公立医院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21047000.00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13952000.00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13561000.00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391000.00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7095000.00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其他专科医院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21047000.00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13952000.00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13561000.00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391000.00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7095000.00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公共卫生</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重大公共卫生服务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1999000.00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1999000.00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1999000.00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天津市眼科医院</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13624000.00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391000.00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11884000.00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1346000.00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1936000.00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1587000.00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349000.00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15560000.00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391000.00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天津市眼科医院</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天津市眼科医院2025年度政府性基金预算财政拨款收入支出决算表为空表。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天津市眼科医院</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天津市眼科医院2025年度国有资本经营预算财政拨款收入支出决算表为空表。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天津市眼科医院</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天津市眼科医院2025年财政拨款“三公”经费支出决算表为空表。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天津市眼科医院</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16576609.36</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7845000.00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8731609.36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引进人才费用</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第二批卫生健康行业高层次人才选拔培养工程第一年度资助经费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16376609.36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7645000.00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8731609.36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15826609.36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7095000.00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8731609.36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其他专科医院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15826609.36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7095000.00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8731609.36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卫生健康系统对口支援帮扶（2025年市级)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住院医师规范化培训——2025年第二批中央医疗服务与保障能力提升（卫生健康人才培养）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公立医院综合改革（2025年中央医疗服务与保障能力提升）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天津市眼科医院专科学科能力建设（2025年一般债券）</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科教项目支出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8731609.36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8731609.36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重点传染病及健康危害因素监测（学生常见病监测与干预）(2025年中央重大公共卫生服务）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天津市眼科医院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756,109,541.12</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减少29,853,112.63元，下降3.80%</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就诊人次的减少及医疗收费项目的进一步降价导致事业收入减少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一般公共预算财政拨款收入23,796,000.00元、事业收入680,576,186.09元、其他收入8,984,078.70元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社会保障和就业支出200,000.00元、卫生健康支出681,794,349.44元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天津市眼科医院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713,356,264.79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减少35,571,945.94元，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2025年就诊人次同比下降10.12%，导致医疗收入的减少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一般公共预算财政拨款收入23,796,000.00元，占3.34%；事业收入680,576,186.09元，占95.40%；其他收入8,984,078.70元，占1.26%</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天津市眼科医院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681,994,349.44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减少9,906,723.25元，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医疗收入的下降导致相应的药品、耗材采购支出降低</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基本支出665,417,740.08元，占97.57%；项目支出16,576,609.36元，占2.43%</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天津市眼科医院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23,796,000.00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增加8,754,000.00元，增长58.20%，</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本年度有600万的一般债项目，2024年无此项目</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一般公共预算财政拨款23,796,000.00元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社会保障和就业支出200,000.00元、卫生健康支出23,596,000.00元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天津市眼科医院2025年度一般公共预算财政拨款支出合计23,796,000.00元，占本年支出合计的3.49%。与2024年度相比，一般公共预算财政拨款支出</w:t>
      </w:r>
      <w:r>
        <w:rPr>
          <w:rFonts w:eastAsia="仿宋_GB2312" w:hint="eastAsia"/>
          <w:sz w:val="30"/>
          <w:szCs w:val="30"/>
          <w:highlight w:val="none"/>
          <w:lang w:val="en-US" w:eastAsia="zh-CN"/>
        </w:rPr>
        <w:t xml:space="preserve">增加8,754,000.00元</w:t>
      </w:r>
      <w:r>
        <w:rPr>
          <w:rFonts w:eastAsia="仿宋_GB2312" w:hint="eastAsia"/>
          <w:sz w:val="30"/>
          <w:szCs w:val="30"/>
          <w:highlight w:val="none"/>
          <w:lang w:val="en-US" w:eastAsia="zh-CN"/>
        </w:rPr>
        <w:t xml:space="preserve">，增长58.20%</w:t>
      </w:r>
      <w:r>
        <w:rPr>
          <w:rFonts w:eastAsia="仿宋_GB2312" w:hint="eastAsia"/>
          <w:sz w:val="30"/>
          <w:szCs w:val="30"/>
          <w:highlight w:val="none"/>
          <w:lang w:val="en-US" w:eastAsia="zh-CN"/>
        </w:rPr>
        <w:t xml:space="preserve">，主要原因是本年度有600万一般债项目，且由于退休人员的增加，基本拨款收入也相应增加。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2025年度一般公共预算财政拨款支出23,796,000.00元，主要用于以下方面：</w:t>
      </w:r>
      <w:r>
        <w:rPr>
          <w:rFonts w:eastAsia="仿宋_GB2312" w:hint="eastAsia"/>
          <w:sz w:val="30"/>
          <w:szCs w:val="30"/>
          <w:highlight w:val="none"/>
        </w:rPr>
        <w:t xml:space="preserve">社会保障和就业支出（类）支出200,000.00元，占0.84%，卫生健康支出（类）支出23,596,000.00元，占99.16%</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2025年度一般公共预算财政拨款支出年初预算为17,596,000.00元，支出决算为23,796,000.00元</w:t>
      </w:r>
      <w:r>
        <w:rPr>
          <w:rFonts w:eastAsia="仿宋_GB2312" w:hint="eastAsia"/>
          <w:sz w:val="30"/>
          <w:szCs w:val="30"/>
          <w:highlight w:val="none"/>
          <w:lang w:val="en-US" w:eastAsia="zh-CN"/>
        </w:rPr>
        <w:t xml:space="preserve">，完成年初预算的135.24%</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人力资源和社会保障管理事务（款）引进人才费用（项）年初预算为0.00元，支出决算为200,000.00元，决算数大于年初预算数的主要原因是：引进人才费用项目为临时调剂项目，年初无预算，年底已全部执行完毕。</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卫生健康支出（类）公立医院（款）其他专科医院（项）年初预算为15,047,000.00元，支出决算为21,047,000.00元，完成年初预算的139.88%，决算数大于年初预算数的主要原因是：2025年一般债项目为临时调剂项目，年初无预算，年底已全部执行完毕。</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3.卫生健康支出（类）公共卫生（款）重大公共卫生服务（项）年初预算为550,000.00元，支出决算为550,000.00元，完成年初预算的100.00%，决算数与年初预算数持平的主要原因是：年初预算已于年底全部执行完毕。</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事业单位医疗（项）年初预算为1,346,000.00元，支出决算为1,346,000.00元，完成年初预算的100.00%，决算数与年初预算数持平的主要原因是：年初预算已于年底全部执行完毕。</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行政事业单位医疗（款）其他行政事业单位医疗支出（项）年初预算为653,000.00元，支出决算为653,000.00元，完成年初预算的100.00%，决算数与年初预算数持平的主要原因是：年初预算已于年底全部执行完毕。</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天津市眼科医院2025年度一般公共预算财政拨款基本支出合计15,951,000.00元，与2024年度相比</w:t>
      </w:r>
      <w:r>
        <w:rPr>
          <w:rFonts w:eastAsia="仿宋_GB2312" w:hint="eastAsia"/>
          <w:sz w:val="30"/>
          <w:szCs w:val="30"/>
          <w:highlight w:val="none"/>
          <w:lang w:val="en-US" w:eastAsia="zh-CN"/>
        </w:rPr>
        <w:t xml:space="preserve">增加3,465,000.00元，</w:t>
      </w:r>
      <w:r>
        <w:rPr>
          <w:rFonts w:eastAsia="仿宋_GB2312" w:hint="eastAsia"/>
          <w:sz w:val="30"/>
          <w:szCs w:val="30"/>
          <w:highlight w:val="none"/>
          <w:lang w:val="en-US" w:eastAsia="zh-CN"/>
        </w:rPr>
        <w:t xml:space="preserve">主要原因是人员的增加导致退休费、养老保险缴费的增加。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人员经费15,560,000.00元，主要包括</w:t>
      </w:r>
      <w:r>
        <w:rPr>
          <w:rFonts w:eastAsia="仿宋_GB2312" w:hint="eastAsia"/>
          <w:sz w:val="30"/>
          <w:szCs w:val="30"/>
          <w:highlight w:val="none"/>
          <w:lang w:val="en-US" w:eastAsia="zh-CN"/>
        </w:rPr>
        <w:t xml:space="preserve">基本工资、机关事业单位基本养老保险缴费、职工基本医疗保险缴费、医疗费、退休费、医疗费补助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公用经费391,000.00元，主要包括</w:t>
      </w:r>
      <w:r>
        <w:rPr>
          <w:rFonts w:eastAsia="仿宋_GB2312" w:hint="eastAsia"/>
          <w:sz w:val="30"/>
          <w:szCs w:val="30"/>
          <w:highlight w:val="none"/>
          <w:lang w:val="en-US" w:eastAsia="zh-CN"/>
        </w:rPr>
        <w:t xml:space="preserve">专用材料费、其他商品和服务支出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天津市眼科医院2025年度无政府性基金预算财政拨款收入、支出和结转结余。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天津市眼科医院2025年度无国有资本经营预算财政拨款收入、支出和结转结余。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决算数较上年持平的主要原因是本年度与上年度均未用财政拨款经费列支三公经费。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决算数与预算数持平的主要原因是本年度未用财政拨款经费列支出国境费；</w:t>
      </w:r>
      <w:r>
        <w:rPr>
          <w:rFonts w:eastAsia="仿宋_GB2312" w:hint="eastAsia"/>
          <w:sz w:val="30"/>
          <w:szCs w:val="30"/>
          <w:highlight w:val="none"/>
          <w:lang w:val="en-US" w:eastAsia="zh-CN"/>
        </w:rPr>
        <w:t xml:space="preserve">决算数较上年持平的主要原因是本年度与上年度均未用财政拨款经费列支出国境费。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决算数与预算数持平的主要原因是我单位没有使用财政拨款经费购置公务用车，没有使用财政拨款经费安排公务用车维护；</w:t>
      </w:r>
      <w:r>
        <w:rPr>
          <w:rFonts w:eastAsia="仿宋_GB2312" w:hint="eastAsia"/>
          <w:sz w:val="30"/>
          <w:szCs w:val="30"/>
          <w:highlight w:val="none"/>
          <w:lang w:val="en-US" w:eastAsia="zh-CN"/>
        </w:rPr>
        <w:t xml:space="preserve">决算数较上年持平的主要原因是我单位本年度与上年度均没有使用财政拨款经费安排公务用车维护，均没有使用财政拨款经费购置公务用车。</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决算数与预算数持平的主要原因是我单位没有使用财政拨款经费安排公务用车维护；</w:t>
      </w:r>
      <w:r>
        <w:rPr>
          <w:rFonts w:eastAsia="仿宋_GB2312" w:hint="eastAsia"/>
          <w:sz w:val="30"/>
          <w:szCs w:val="30"/>
          <w:highlight w:val="none"/>
          <w:lang w:val="en-US" w:eastAsia="zh-CN"/>
        </w:rPr>
        <w:t xml:space="preserve">决算数较上年持平的主要原因是我单位本年度与上年度均没有使用财政拨款经费安排公务用车维护。</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决算数与预算数持平的主要原因是我单位没有使用财政拨款经费购置公务用车；</w:t>
      </w:r>
      <w:r>
        <w:rPr>
          <w:rFonts w:eastAsia="仿宋_GB2312" w:hint="eastAsia"/>
          <w:sz w:val="30"/>
          <w:szCs w:val="30"/>
          <w:highlight w:val="none"/>
          <w:lang w:val="en-US" w:eastAsia="zh-CN"/>
        </w:rPr>
        <w:t xml:space="preserve">决算数较上年持平的主要原因是我单位本年度与上年度均没有使用财政拨款经费购置公务用车。</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决算数与预算数持平的主要原因是我单位没有使用财政拨款经费安排国内公务接待情况；</w:t>
      </w:r>
      <w:r>
        <w:rPr>
          <w:rFonts w:eastAsia="仿宋_GB2312" w:hint="eastAsia"/>
          <w:sz w:val="30"/>
          <w:szCs w:val="30"/>
          <w:highlight w:val="none"/>
          <w:lang w:val="en-US" w:eastAsia="zh-CN"/>
        </w:rPr>
        <w:t xml:space="preserve">决算数较上年持平的主要原因是我单位本年度与上年度均没有使用财政拨款经费安排国内公务接待情况。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天津市眼科医院2025年度无机关运行经费。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眼科医院2025年政府采购支出总额56,804,991.00元，其中：政府采购货物支出8,855,675.00元、政府采购工程支出1,600,000.00元、政府采购服务支出46,349,316.00元。授予中小企业合同金额0.00元，占政府采购支出总额的0.00%，其中：授予小微企业合同金额0.00元，占政府采购支出总额的0.00%；货物采购授予中小企业合同金额占货物支出金额的0.00%，工程采购授予中小企业合同金额占工程支出金额的0.00%，服务采购授予中小企业合同金额占服务支出金额的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截至2025年12月31日，天津市眼科医院共有车辆1辆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其他用车1辆</w:t>
      </w:r>
      <w:r>
        <w:rPr>
          <w:rFonts w:eastAsia="仿宋_GB2312" w:hint="eastAsia"/>
          <w:sz w:val="30"/>
          <w:szCs w:val="30"/>
          <w:highlight w:val="none"/>
          <w:lang w:val="en-US" w:eastAsia="zh-CN"/>
        </w:rPr>
        <w:t xml:space="preserve">，其他用车主要包括用于日常交换文件用车一辆</w:t>
      </w:r>
      <w:r>
        <w:rPr>
          <w:rFonts w:eastAsia="仿宋_GB2312" w:hint="eastAsia"/>
          <w:sz w:val="30"/>
          <w:szCs w:val="30"/>
          <w:highlight w:val="none"/>
          <w:lang w:val="en-US" w:eastAsia="zh-CN"/>
        </w:rPr>
        <w:t xml:space="preserve">。单价100万元以上的设备83台（套）。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根据预算绩效管理要求，天津市眼科医院2025年度已对 7个市级项目开展绩效自评，涉及金额 977374800元，自评结果已随部门决算一并公开。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天津市眼科医院不属于乡、镇、街级单位，不涉及公开2025年度教育、医疗卫生、社会保障和就业、住房保障、涉农补贴等民生支出情况。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0B34986F-90B2-487B-A7B9-FC8324D93A6E}"/>
    <w:embedBold r:id="rId2" w:subsetted="1" w:fontKey="{41C5FDE9-D311-4075-B761-8E31C68ED7D5}"/>
  </w:font>
  <w:font w:name="Cambria">
    <w:panose1 w:val="02040503050406030204"/>
    <w:charset w:val="00"/>
    <w:family w:val="roman"/>
    <w:pitch w:val="default"/>
    <w:sig w:usb0="E00006FF" w:usb1="420024FF" w:usb2="02000000" w:usb3="00000000" w:csb0="2000019F" w:csb1="00000000"/>
    <w:embedRegular r:id="rId3" w:fontKey="{78241896-9618-4AEA-83A8-7F6C36534D29}"/>
  </w:font>
  <w:font w:name="Calibri">
    <w:panose1 w:val="020F0502020204030204"/>
    <w:charset w:val="00"/>
    <w:family w:val="swiss"/>
    <w:pitch w:val="default"/>
    <w:sig w:usb0="E4002EFF" w:usb1="C200247B" w:usb2="00000009" w:usb3="00000000" w:csb0="200001FF" w:csb1="00000000"/>
    <w:embedRegular r:id="rId4" w:fontKey="{3074F4C1-7250-4CA1-8592-0C3E01E45AE3}"/>
  </w:font>
  <w:font w:name="黑体">
    <w:panose1 w:val="02010609060101010101"/>
    <w:charset w:val="FFFFFF86"/>
    <w:family w:val="auto"/>
    <w:pitch w:val="default"/>
    <w:sig w:usb0="800002BF" w:usb1="38CF7CFA" w:usb2="00000016" w:usb3="00000000" w:csb0="00040001" w:csb1="00000000"/>
    <w:embedRegular r:id="rId5" w:subsetted="1" w:fontKey="{8FEBC05B-5D76-4EC4-B7B8-9DCE6567C20A}"/>
    <w:embedBold r:id="rId6" w:subsetted="1" w:fontKey="{68E01562-E6C3-417A-87B1-3DC79410C052}"/>
  </w:font>
  <w:font w:name="方正小标宋简体">
    <w:altName w:val="黑体"/>
    <w:panose1 w:val="02000000000000000000"/>
    <w:charset w:val="FFFFFF86"/>
    <w:family w:val="auto"/>
    <w:pitch w:val="default"/>
    <w:sig w:usb0="00000001" w:usb1="08000000" w:usb2="00000000" w:usb3="00000000" w:csb0="00040000" w:csb1="00000000"/>
    <w:embedRegular r:id="rId7" w:fontKey="{FBAD3BE4-9BDE-480D-84D2-ECE9FF1CD8DB}"/>
    <w:embedBold r:id="rId8" w:fontKey="{901D9323-46B5-4CF1-9304-A774C43F1377}"/>
  </w:font>
  <w:font w:name="仿宋">
    <w:panose1 w:val="02010609060101010101"/>
    <w:charset w:val="FFFFFF86"/>
    <w:family w:val="auto"/>
    <w:pitch w:val="default"/>
    <w:sig w:usb0="800002BF" w:usb1="38CF7CFA" w:usb2="00000016" w:usb3="00000000" w:csb0="00040001" w:csb1="00000000"/>
    <w:embedRegular r:id="rId9" w:subsetted="1" w:fontKey="{5811CB53-2245-402A-9099-2791FF5E397B}"/>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0FAEC7AA-845A-4026-8200-ADACD9881B3B}"/>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43B4C49A-92E1-4575-8AE6-32D3EFA9557C}"/>
    <w:embedBold r:id="rId12" w:subsetted="1" w:fontKey="{38D37BA3-882A-4B17-BC55-5CD23CA5E01D}"/>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5</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25</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28</Pages>
  <Words>2179</Words>
  <Characters>9250</Characters>
  <Application>WPS Office_12.1.0.28043_F1E327BC-269C-435d-A152-05C5408002CA</Application>
  <DocSecurity>0</DocSecurity>
  <Lines>60</Lines>
  <Paragraphs>16</Paragraphs>
  <ScaleCrop>false</ScaleCrop>
  <Company>Microsoft</Company>
  <LinksUpToDate>false</LinksUpToDate>
  <CharactersWithSpaces>9455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2026-08-24T02:43:28Z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